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6389" w14:textId="58B6882C" w:rsidR="008D10FD" w:rsidRPr="003017F7" w:rsidRDefault="09FC40E8" w:rsidP="006A6418">
      <w:pPr>
        <w:pStyle w:val="GradeColorida-nfase11"/>
        <w:jc w:val="center"/>
        <w:rPr>
          <w:rFonts w:cs="Arial"/>
          <w:b/>
          <w:bCs/>
          <w:i w:val="0"/>
          <w:iCs w:val="0"/>
        </w:rPr>
      </w:pPr>
      <w:r w:rsidRPr="003017F7">
        <w:rPr>
          <w:rFonts w:cs="Arial"/>
          <w:b/>
          <w:bCs/>
          <w:i w:val="0"/>
          <w:iCs w:val="0"/>
        </w:rPr>
        <w:t>MOD</w:t>
      </w:r>
      <w:r w:rsidR="006A6418">
        <w:rPr>
          <w:rFonts w:cs="Arial"/>
          <w:b/>
          <w:bCs/>
          <w:i w:val="0"/>
          <w:iCs w:val="0"/>
        </w:rPr>
        <w:t>ELO DE ATA DE REGISTRO DE PREÇOS</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65733F63" w:rsidR="00130234" w:rsidRPr="003017F7" w:rsidRDefault="00130234" w:rsidP="00CB46FC">
      <w:pPr>
        <w:jc w:val="center"/>
        <w:rPr>
          <w:rFonts w:cs="Arial"/>
          <w:b/>
          <w:bCs/>
          <w:iCs/>
          <w:szCs w:val="20"/>
        </w:rPr>
      </w:pPr>
      <w:r w:rsidRPr="003017F7">
        <w:rPr>
          <w:rFonts w:cs="Arial"/>
          <w:b/>
          <w:bCs/>
          <w:iCs/>
          <w:szCs w:val="20"/>
        </w:rPr>
        <w:t>(PRESTAÇÃO DE SERVIÇOS</w:t>
      </w:r>
      <w:r w:rsidR="000D1240">
        <w:rPr>
          <w:rFonts w:cs="Arial"/>
          <w:b/>
          <w:bCs/>
          <w:iCs/>
          <w:szCs w:val="20"/>
        </w:rPr>
        <w:t xml:space="preserve"> DE TECNOLOGIA DA INFORMAÇÃO E COMUNICAÇÃO</w:t>
      </w:r>
      <w:r w:rsidRPr="003017F7">
        <w:rPr>
          <w:rFonts w:cs="Arial"/>
          <w:b/>
          <w:bCs/>
          <w:iCs/>
          <w:szCs w:val="20"/>
        </w:rPr>
        <w:t>)</w:t>
      </w:r>
    </w:p>
    <w:p w14:paraId="4C51638E" w14:textId="77777777" w:rsidR="00C60729" w:rsidRPr="003017F7" w:rsidRDefault="00C60729" w:rsidP="00CB46FC">
      <w:pPr>
        <w:jc w:val="center"/>
        <w:rPr>
          <w:rFonts w:cs="Arial"/>
          <w:szCs w:val="20"/>
        </w:rPr>
      </w:pPr>
    </w:p>
    <w:p w14:paraId="142F8966" w14:textId="77777777" w:rsidR="008122A2" w:rsidRPr="008122A2" w:rsidRDefault="008122A2" w:rsidP="00CB46FC">
      <w:pPr>
        <w:widowControl w:val="0"/>
        <w:autoSpaceDE w:val="0"/>
        <w:autoSpaceDN w:val="0"/>
        <w:adjustRightInd w:val="0"/>
        <w:ind w:right="-30"/>
        <w:jc w:val="center"/>
        <w:rPr>
          <w:rFonts w:cs="Arial"/>
          <w:b/>
          <w:bCs/>
          <w:szCs w:val="20"/>
        </w:rPr>
      </w:pPr>
      <w:r w:rsidRPr="008122A2">
        <w:rPr>
          <w:rFonts w:cs="Arial"/>
          <w:b/>
          <w:bCs/>
          <w:szCs w:val="20"/>
        </w:rPr>
        <w:t>INSTITUTO FEDERAL DE EDUCAÇÃO, CIÊNCIA E TECNOLOGIA DO RIO DE JANEIRO</w:t>
      </w:r>
      <w:r w:rsidRPr="008122A2">
        <w:rPr>
          <w:rFonts w:cs="Arial"/>
          <w:b/>
          <w:bCs/>
          <w:szCs w:val="20"/>
        </w:rPr>
        <w:t xml:space="preserve"> </w:t>
      </w:r>
    </w:p>
    <w:p w14:paraId="4C516390" w14:textId="1645F0B2"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7A9514D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8122A2">
        <w:rPr>
          <w:rFonts w:cs="Arial"/>
          <w:szCs w:val="20"/>
        </w:rPr>
        <w:t xml:space="preserve"> </w:t>
      </w:r>
      <w:r w:rsidR="008122A2" w:rsidRPr="009A65ED">
        <w:rPr>
          <w:rFonts w:cs="Arial"/>
          <w:szCs w:val="20"/>
        </w:rPr>
        <w:t xml:space="preserve">Instituto Federal </w:t>
      </w:r>
      <w:r w:rsidR="008122A2">
        <w:rPr>
          <w:rFonts w:cs="Arial"/>
          <w:szCs w:val="20"/>
        </w:rPr>
        <w:t>de</w:t>
      </w:r>
      <w:r w:rsidR="008122A2" w:rsidRPr="009A65ED">
        <w:rPr>
          <w:rFonts w:cs="Arial"/>
          <w:szCs w:val="20"/>
        </w:rPr>
        <w:t xml:space="preserve"> Educação, Ciência </w:t>
      </w:r>
      <w:r w:rsidR="008122A2">
        <w:rPr>
          <w:rFonts w:cs="Arial"/>
          <w:szCs w:val="20"/>
        </w:rPr>
        <w:t>e</w:t>
      </w:r>
      <w:r w:rsidR="008122A2" w:rsidRPr="009A65ED">
        <w:rPr>
          <w:rFonts w:cs="Arial"/>
          <w:szCs w:val="20"/>
        </w:rPr>
        <w:t xml:space="preserve"> Tecnologia </w:t>
      </w:r>
      <w:r w:rsidR="008122A2">
        <w:rPr>
          <w:rFonts w:cs="Arial"/>
          <w:szCs w:val="20"/>
        </w:rPr>
        <w:t>d</w:t>
      </w:r>
      <w:r w:rsidR="008122A2" w:rsidRPr="009A65ED">
        <w:rPr>
          <w:rFonts w:cs="Arial"/>
          <w:szCs w:val="20"/>
        </w:rPr>
        <w:t xml:space="preserve">o Rio </w:t>
      </w:r>
      <w:r w:rsidR="008122A2">
        <w:rPr>
          <w:rFonts w:cs="Arial"/>
          <w:szCs w:val="20"/>
        </w:rPr>
        <w:t>d</w:t>
      </w:r>
      <w:r w:rsidR="008122A2" w:rsidRPr="009A65ED">
        <w:rPr>
          <w:rFonts w:cs="Arial"/>
          <w:szCs w:val="20"/>
        </w:rPr>
        <w:t>e Janeiro</w:t>
      </w:r>
      <w:r w:rsidRPr="003017F7">
        <w:rPr>
          <w:rFonts w:cs="Arial"/>
          <w:szCs w:val="20"/>
        </w:rPr>
        <w:t xml:space="preserve">, com sede no(a) ......, na cidade de ........, inscrito(a) no CNPJ/MF sob o nº </w:t>
      </w:r>
      <w:proofErr w:type="gramStart"/>
      <w:r w:rsidRPr="003017F7">
        <w:rPr>
          <w:rFonts w:cs="Arial"/>
          <w:szCs w:val="20"/>
        </w:rPr>
        <w:t>.....</w:t>
      </w:r>
      <w:proofErr w:type="gramEnd"/>
      <w:r w:rsidRPr="003017F7">
        <w:rPr>
          <w:rFonts w:cs="Arial"/>
          <w:szCs w:val="20"/>
        </w:rPr>
        <w:t>, neste ato representado(a) pelo(a) ...... (</w:t>
      </w:r>
      <w:r w:rsidRPr="003017F7">
        <w:rPr>
          <w:rFonts w:cs="Arial"/>
          <w:i/>
          <w:iCs/>
          <w:szCs w:val="20"/>
        </w:rPr>
        <w:t>cargo e nome</w:t>
      </w:r>
      <w:r w:rsidRPr="003017F7">
        <w:rPr>
          <w:rFonts w:cs="Arial"/>
          <w:szCs w:val="20"/>
        </w:rPr>
        <w:t xml:space="preserve">), nomeado(a) pela  Portaria nº ...... de ..... de ...... de 200..., publicada no ....... de </w:t>
      </w:r>
      <w:proofErr w:type="gramStart"/>
      <w:r w:rsidRPr="003017F7">
        <w:rPr>
          <w:rFonts w:cs="Arial"/>
          <w:szCs w:val="20"/>
        </w:rPr>
        <w:t>.....</w:t>
      </w:r>
      <w:proofErr w:type="gramEnd"/>
      <w:r w:rsidRPr="003017F7">
        <w:rPr>
          <w:rFonts w:cs="Arial"/>
          <w:szCs w:val="20"/>
        </w:rPr>
        <w:t xml:space="preserve"> de ....... de ....., </w:t>
      </w:r>
      <w:r w:rsidR="00B42E7F">
        <w:rPr>
          <w:rFonts w:cs="Arial"/>
          <w:szCs w:val="20"/>
        </w:rPr>
        <w:t>portador da matrícula funcional nº ......</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do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B42E7F">
        <w:rPr>
          <w:rFonts w:cs="Arial"/>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8122A2">
      <w:pPr>
        <w:pStyle w:val="Nivel1"/>
        <w:spacing w:before="240"/>
        <w:ind w:left="357" w:hanging="357"/>
      </w:pPr>
      <w:r w:rsidRPr="003017F7">
        <w:t>DOS PREÇOS, ESPECIFICAÇÕES E QUANTITATIVOS</w:t>
      </w:r>
    </w:p>
    <w:p w14:paraId="15F22DEA" w14:textId="3FCCE552" w:rsidR="008122A2" w:rsidRPr="008122A2" w:rsidRDefault="00CB46FC"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6C0E9355"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56F05E5A" w14:textId="77777777" w:rsidR="008122A2" w:rsidRPr="008122A2" w:rsidRDefault="008122A2" w:rsidP="008122A2">
            <w:pPr>
              <w:widowControl w:val="0"/>
              <w:suppressAutoHyphens/>
              <w:jc w:val="center"/>
              <w:rPr>
                <w:rFonts w:cs="Times New Roman"/>
                <w:bCs/>
                <w:szCs w:val="20"/>
              </w:rPr>
            </w:pPr>
            <w:r w:rsidRPr="008122A2">
              <w:rPr>
                <w:rFonts w:cs="Times New Roman"/>
                <w:bCs/>
                <w:szCs w:val="20"/>
              </w:rPr>
              <w:t xml:space="preserve">Nome da Empresa </w:t>
            </w:r>
          </w:p>
          <w:p w14:paraId="5E6097E2" w14:textId="77777777" w:rsidR="008122A2" w:rsidRPr="008122A2" w:rsidRDefault="008122A2" w:rsidP="008122A2">
            <w:pPr>
              <w:widowControl w:val="0"/>
              <w:suppressAutoHyphens/>
              <w:jc w:val="center"/>
              <w:rPr>
                <w:rFonts w:cs="Times New Roman"/>
                <w:bCs/>
                <w:szCs w:val="20"/>
              </w:rPr>
            </w:pPr>
            <w:r w:rsidRPr="008122A2">
              <w:rPr>
                <w:rFonts w:cs="Times New Roman"/>
                <w:bCs/>
                <w:szCs w:val="20"/>
              </w:rPr>
              <w:t xml:space="preserve">CNPJ: </w:t>
            </w:r>
            <w:proofErr w:type="spellStart"/>
            <w:r w:rsidRPr="008122A2">
              <w:rPr>
                <w:rFonts w:cs="Times New Roman"/>
                <w:bCs/>
                <w:szCs w:val="20"/>
              </w:rPr>
              <w:t>xxxxxxx</w:t>
            </w:r>
            <w:proofErr w:type="spellEnd"/>
          </w:p>
          <w:p w14:paraId="3AAF963D" w14:textId="77777777" w:rsidR="008122A2" w:rsidRPr="008122A2" w:rsidRDefault="008122A2" w:rsidP="008122A2">
            <w:pPr>
              <w:widowControl w:val="0"/>
              <w:suppressAutoHyphens/>
              <w:jc w:val="center"/>
              <w:rPr>
                <w:rFonts w:cs="Times New Roman"/>
                <w:bCs/>
                <w:szCs w:val="20"/>
              </w:rPr>
            </w:pPr>
            <w:r w:rsidRPr="008122A2">
              <w:rPr>
                <w:rFonts w:cs="Times New Roman"/>
                <w:bCs/>
                <w:szCs w:val="20"/>
              </w:rPr>
              <w:t xml:space="preserve">Endereço completo – CEP: </w:t>
            </w:r>
            <w:proofErr w:type="spellStart"/>
            <w:r w:rsidRPr="008122A2">
              <w:rPr>
                <w:rFonts w:cs="Times New Roman"/>
                <w:bCs/>
                <w:szCs w:val="20"/>
              </w:rPr>
              <w:t>xxxxxxxxx</w:t>
            </w:r>
            <w:proofErr w:type="spellEnd"/>
          </w:p>
          <w:p w14:paraId="7D237387" w14:textId="77777777" w:rsidR="008122A2" w:rsidRPr="008122A2" w:rsidRDefault="008122A2" w:rsidP="008122A2">
            <w:pPr>
              <w:widowControl w:val="0"/>
              <w:suppressAutoHyphens/>
              <w:jc w:val="center"/>
              <w:rPr>
                <w:rFonts w:cs="Times New Roman"/>
                <w:bCs/>
                <w:szCs w:val="20"/>
              </w:rPr>
            </w:pPr>
            <w:proofErr w:type="spellStart"/>
            <w:r w:rsidRPr="008122A2">
              <w:rPr>
                <w:rFonts w:cs="Times New Roman"/>
                <w:bCs/>
                <w:szCs w:val="20"/>
              </w:rPr>
              <w:t>Tel</w:t>
            </w:r>
            <w:proofErr w:type="spellEnd"/>
            <w:r w:rsidRPr="008122A2">
              <w:rPr>
                <w:rFonts w:cs="Times New Roman"/>
                <w:bCs/>
                <w:szCs w:val="20"/>
              </w:rPr>
              <w:t>: (</w:t>
            </w:r>
            <w:proofErr w:type="spellStart"/>
            <w:r w:rsidRPr="008122A2">
              <w:rPr>
                <w:rFonts w:cs="Times New Roman"/>
                <w:bCs/>
                <w:szCs w:val="20"/>
              </w:rPr>
              <w:t>xx</w:t>
            </w:r>
            <w:proofErr w:type="spellEnd"/>
            <w:r w:rsidRPr="008122A2">
              <w:rPr>
                <w:rFonts w:cs="Times New Roman"/>
                <w:bCs/>
                <w:szCs w:val="20"/>
              </w:rPr>
              <w:t xml:space="preserve">) </w:t>
            </w:r>
            <w:proofErr w:type="spellStart"/>
            <w:r w:rsidRPr="008122A2">
              <w:rPr>
                <w:rFonts w:cs="Times New Roman"/>
                <w:bCs/>
                <w:szCs w:val="20"/>
              </w:rPr>
              <w:t>xxxx-xxxx</w:t>
            </w:r>
            <w:proofErr w:type="spellEnd"/>
          </w:p>
          <w:p w14:paraId="54140C49" w14:textId="77777777" w:rsidR="008122A2" w:rsidRPr="008122A2" w:rsidRDefault="008122A2" w:rsidP="008122A2">
            <w:pPr>
              <w:widowControl w:val="0"/>
              <w:suppressAutoHyphens/>
              <w:jc w:val="center"/>
              <w:rPr>
                <w:rFonts w:cs="Times New Roman"/>
                <w:bCs/>
                <w:szCs w:val="20"/>
              </w:rPr>
            </w:pPr>
            <w:r w:rsidRPr="008122A2">
              <w:rPr>
                <w:rFonts w:cs="Times New Roman"/>
                <w:bCs/>
                <w:szCs w:val="20"/>
              </w:rPr>
              <w:t xml:space="preserve">E-mail: </w:t>
            </w:r>
            <w:proofErr w:type="spellStart"/>
            <w:r w:rsidRPr="008122A2">
              <w:rPr>
                <w:rFonts w:cs="Times New Roman"/>
                <w:bCs/>
                <w:szCs w:val="20"/>
              </w:rPr>
              <w:t>xxxxxxx</w:t>
            </w:r>
            <w:proofErr w:type="spellEnd"/>
          </w:p>
          <w:p w14:paraId="20282B4E" w14:textId="77777777" w:rsidR="008122A2" w:rsidRPr="008122A2" w:rsidRDefault="008122A2" w:rsidP="008122A2">
            <w:pPr>
              <w:widowControl w:val="0"/>
              <w:suppressAutoHyphens/>
              <w:jc w:val="center"/>
              <w:rPr>
                <w:rFonts w:cs="Times New Roman"/>
                <w:bCs/>
                <w:szCs w:val="20"/>
              </w:rPr>
            </w:pPr>
            <w:r w:rsidRPr="008122A2">
              <w:rPr>
                <w:rFonts w:cs="Times New Roman"/>
                <w:bCs/>
                <w:szCs w:val="20"/>
              </w:rPr>
              <w:t xml:space="preserve">Representante: </w:t>
            </w:r>
            <w:proofErr w:type="spellStart"/>
            <w:r w:rsidRPr="008122A2">
              <w:rPr>
                <w:rFonts w:cs="Times New Roman"/>
                <w:bCs/>
                <w:szCs w:val="20"/>
              </w:rPr>
              <w:t>xxxxxxxxxx</w:t>
            </w:r>
            <w:proofErr w:type="spellEnd"/>
            <w:r w:rsidRPr="008122A2">
              <w:rPr>
                <w:rFonts w:cs="Times New Roman"/>
                <w:bCs/>
                <w:szCs w:val="20"/>
              </w:rPr>
              <w:t xml:space="preserve"> – CPF: </w:t>
            </w:r>
            <w:proofErr w:type="spellStart"/>
            <w:r w:rsidRPr="008122A2">
              <w:rPr>
                <w:rFonts w:cs="Times New Roman"/>
                <w:bCs/>
                <w:szCs w:val="20"/>
              </w:rPr>
              <w:t>xxxxxxxx</w:t>
            </w:r>
            <w:proofErr w:type="spellEnd"/>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0332C4D5" w:rsidR="00C341D8" w:rsidRPr="0016173D" w:rsidRDefault="0016173D" w:rsidP="008122A2">
      <w:pPr>
        <w:numPr>
          <w:ilvl w:val="1"/>
          <w:numId w:val="1"/>
        </w:numPr>
        <w:autoSpaceDE w:val="0"/>
        <w:autoSpaceDN w:val="0"/>
        <w:adjustRightInd w:val="0"/>
        <w:spacing w:before="120" w:after="120" w:line="276" w:lineRule="auto"/>
        <w:ind w:left="0" w:firstLine="0"/>
        <w:jc w:val="both"/>
        <w:rPr>
          <w:rFonts w:cs="Arial"/>
          <w:sz w:val="22"/>
          <w:szCs w:val="22"/>
        </w:rPr>
      </w:pPr>
      <w:r w:rsidRPr="0016173D">
        <w:rPr>
          <w:rFonts w:cs="Arial"/>
          <w:szCs w:val="20"/>
          <w:lang w:eastAsia="en-US"/>
        </w:rPr>
        <w:lastRenderedPageBreak/>
        <w:t xml:space="preserve">A listagem </w:t>
      </w:r>
      <w:r w:rsidRPr="0016173D">
        <w:rPr>
          <w:rFonts w:cs="Arial"/>
          <w:szCs w:val="20"/>
        </w:rPr>
        <w:t>do</w:t>
      </w:r>
      <w:r w:rsidRPr="0016173D">
        <w:rPr>
          <w:rFonts w:cs="Arial"/>
          <w:szCs w:val="20"/>
          <w:lang w:eastAsia="en-US"/>
        </w:rPr>
        <w:t xml:space="preserve"> cadastro de reserva referente ao presente registro de preços consta como anexo a esta Ata.</w:t>
      </w: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8122A2">
      <w:pPr>
        <w:pStyle w:val="Nivel1"/>
        <w:spacing w:before="240"/>
        <w:ind w:left="357" w:hanging="357"/>
        <w:rPr>
          <w:color w:val="FF0000"/>
        </w:rPr>
      </w:pPr>
      <w:r w:rsidRPr="003017F7">
        <w:rPr>
          <w:color w:val="FF0000"/>
        </w:rPr>
        <w:t xml:space="preserve">ÓRGÃO(S)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8122A2">
      <w:pPr>
        <w:numPr>
          <w:ilvl w:val="1"/>
          <w:numId w:val="1"/>
        </w:numPr>
        <w:spacing w:before="120" w:after="120" w:line="276" w:lineRule="auto"/>
        <w:ind w:left="431" w:hanging="431"/>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8122A2">
      <w:pPr>
        <w:numPr>
          <w:ilvl w:val="1"/>
          <w:numId w:val="1"/>
        </w:numPr>
        <w:spacing w:before="120" w:after="120" w:line="276" w:lineRule="auto"/>
        <w:ind w:left="431" w:hanging="431"/>
        <w:jc w:val="both"/>
        <w:rPr>
          <w:rFonts w:cs="Times New Roman"/>
          <w:i/>
          <w:color w:val="FF0000"/>
          <w:szCs w:val="20"/>
        </w:rPr>
      </w:pPr>
      <w:r w:rsidRPr="003017F7">
        <w:rPr>
          <w:rFonts w:cs="Times New Roman"/>
          <w:i/>
          <w:color w:val="FF0000"/>
          <w:szCs w:val="20"/>
        </w:rPr>
        <w:t>São órgãos e entidades públicas participantes do registro de preços: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5E1E66F9" w:rsidR="00D535EE" w:rsidRPr="003017F7" w:rsidRDefault="004C14E4"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ab/>
            </w:r>
            <w:r w:rsidR="00D535EE"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8122A2">
      <w:pPr>
        <w:pStyle w:val="Nivel1"/>
        <w:spacing w:before="240"/>
        <w:ind w:left="357" w:hanging="357"/>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2E094C33" w:rsidR="00D72FB0" w:rsidRPr="003017F7" w:rsidRDefault="00D72FB0" w:rsidP="008122A2">
      <w:pPr>
        <w:spacing w:before="120" w:after="120" w:line="276" w:lineRule="auto"/>
        <w:jc w:val="both"/>
        <w:rPr>
          <w:i/>
          <w:color w:val="FF0000"/>
          <w:szCs w:val="20"/>
          <w:lang w:eastAsia="en-US"/>
        </w:rPr>
      </w:pPr>
      <w:r w:rsidRPr="003017F7">
        <w:rPr>
          <w:i/>
          <w:color w:val="FF0000"/>
          <w:szCs w:val="20"/>
          <w:lang w:eastAsia="en-US"/>
        </w:rPr>
        <w:t>4.1 Não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8122A2">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8122A2">
      <w:pPr>
        <w:numPr>
          <w:ilvl w:val="1"/>
          <w:numId w:val="1"/>
        </w:numPr>
        <w:spacing w:before="120" w:after="120" w:line="276" w:lineRule="auto"/>
        <w:ind w:left="431" w:hanging="431"/>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48E627A1"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w:t>
      </w:r>
      <w:r w:rsidR="004359FC">
        <w:rPr>
          <w:rFonts w:cs="Arial"/>
          <w:i/>
          <w:color w:val="FF0000"/>
        </w:rPr>
        <w:t>da Economia.</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77777777" w:rsidR="00D72FB0"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 xml:space="preserve">mas sim uma </w:t>
      </w:r>
      <w:r w:rsidRPr="003017F7">
        <w:rPr>
          <w:szCs w:val="20"/>
          <w:u w:val="single"/>
        </w:rPr>
        <w:lastRenderedPageBreak/>
        <w:t>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27A33CE9" w14:textId="77777777" w:rsidR="00717E2A" w:rsidRDefault="00717E2A" w:rsidP="00717E2A">
      <w:pPr>
        <w:pStyle w:val="GradeColorida-nfase11"/>
        <w:rPr>
          <w:rFonts w:cs="Arial"/>
          <w:szCs w:val="20"/>
        </w:rPr>
      </w:pPr>
      <w:r>
        <w:rPr>
          <w:rFonts w:cs="Arial"/>
          <w:szCs w:val="20"/>
        </w:rPr>
        <w:t>Nesse sentido, citamos o acórdão TCU nº 2037/2019-Plenário, segundo o qual:</w:t>
      </w:r>
    </w:p>
    <w:p w14:paraId="3C649042" w14:textId="77777777" w:rsidR="00717E2A" w:rsidRPr="001F6040" w:rsidRDefault="00717E2A" w:rsidP="00717E2A">
      <w:pPr>
        <w:pStyle w:val="GradeColorida-nfase11"/>
        <w:rPr>
          <w:rFonts w:cs="Arial"/>
          <w:szCs w:val="20"/>
        </w:rPr>
      </w:pPr>
      <w:r w:rsidRPr="001F6040">
        <w:rPr>
          <w:rFonts w:cs="Arial"/>
          <w:szCs w:val="20"/>
        </w:rPr>
        <w:t xml:space="preserve">9.6. determinar à </w:t>
      </w:r>
      <w:proofErr w:type="spellStart"/>
      <w:r w:rsidRPr="001F6040">
        <w:rPr>
          <w:rFonts w:cs="Arial"/>
          <w:szCs w:val="20"/>
        </w:rPr>
        <w:t>Secretaria-Geral</w:t>
      </w:r>
      <w:proofErr w:type="spellEnd"/>
      <w:r w:rsidRPr="001F6040">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775C67FB" w14:textId="77777777" w:rsidR="00411485" w:rsidRDefault="00411485" w:rsidP="00D72FB0">
      <w:pPr>
        <w:pStyle w:val="GradeColorida-nfase11"/>
        <w:rPr>
          <w:rFonts w:cs="Arial"/>
          <w:szCs w:val="20"/>
        </w:rPr>
      </w:pPr>
      <w:r w:rsidRPr="00411485">
        <w:rPr>
          <w:rFonts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6F63C02A" w14:textId="2F0E1068"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Default="00D72FB0" w:rsidP="00D72FB0">
      <w:pPr>
        <w:rPr>
          <w:lang w:eastAsia="en-US"/>
        </w:rPr>
      </w:pPr>
    </w:p>
    <w:p w14:paraId="223DF0D8" w14:textId="47E7ABFA" w:rsidR="004359FC" w:rsidRPr="00B42E7F" w:rsidRDefault="004359FC" w:rsidP="004359FC">
      <w:pPr>
        <w:numPr>
          <w:ilvl w:val="2"/>
          <w:numId w:val="1"/>
        </w:numPr>
        <w:spacing w:before="120" w:after="120" w:line="276" w:lineRule="auto"/>
        <w:jc w:val="both"/>
        <w:rPr>
          <w:highlight w:val="yellow"/>
          <w:lang w:eastAsia="en-US"/>
        </w:rPr>
      </w:pPr>
      <w:r w:rsidRPr="004359FC">
        <w:rPr>
          <w:highlight w:val="yellow"/>
          <w:lang w:eastAsia="en-US"/>
        </w:rPr>
        <w:t xml:space="preserve"> </w:t>
      </w:r>
      <w:r w:rsidRPr="004359FC">
        <w:rPr>
          <w:rFonts w:cs="Times New Roman"/>
          <w:i/>
          <w:color w:val="FF0000"/>
          <w:szCs w:val="20"/>
          <w:highlight w:val="yellow"/>
        </w:rPr>
        <w:t>Salvo para Atas de Registro de Preços gerenciadas no âmbito do Ministério da Economia, a adesão de que trata este item</w:t>
      </w:r>
      <w:r w:rsidR="00B42E7F">
        <w:rPr>
          <w:rFonts w:cs="Times New Roman"/>
          <w:i/>
          <w:color w:val="FF0000"/>
          <w:szCs w:val="20"/>
          <w:highlight w:val="yellow"/>
        </w:rPr>
        <w:t>, para fins de contratação de serviços de tecnologia da informação e comunicação,</w:t>
      </w:r>
      <w:r w:rsidRPr="004359FC">
        <w:rPr>
          <w:rFonts w:cs="Times New Roman"/>
          <w:i/>
          <w:color w:val="FF0000"/>
          <w:szCs w:val="20"/>
          <w:highlight w:val="yellow"/>
        </w:rPr>
        <w:t xml:space="preserve"> só será permitida após a aprovação da ata de registro de preços pela Secretaria de Governo Digital do Ministério da Economia na forma do art. 22, §10, II do Decreto nº 7.892, de 2013 e da Instrução Normativa SGD/ME nº 2, de 4 de Abril de 2019.</w:t>
      </w:r>
    </w:p>
    <w:p w14:paraId="77DF1E63" w14:textId="098D2A67" w:rsidR="00B42E7F" w:rsidRPr="00B42E7F" w:rsidRDefault="00B42E7F" w:rsidP="00B42E7F">
      <w:pPr>
        <w:numPr>
          <w:ilvl w:val="3"/>
          <w:numId w:val="1"/>
        </w:numPr>
        <w:spacing w:before="120" w:after="120" w:line="276" w:lineRule="auto"/>
        <w:jc w:val="both"/>
        <w:rPr>
          <w:i/>
          <w:color w:val="FF0000"/>
          <w:highlight w:val="yellow"/>
          <w:lang w:eastAsia="en-US"/>
        </w:rPr>
      </w:pPr>
      <w:r w:rsidRPr="00B42E7F">
        <w:rPr>
          <w:rFonts w:cs="Arial"/>
          <w:i/>
          <w:color w:val="FF0000"/>
          <w:szCs w:val="20"/>
          <w:highlight w:val="yellow"/>
        </w:rPr>
        <w:t>O subitem anterior não se aplica às hipóteses em que a contratação de serviços esteja vinculada ao fornecimento de bens de tecnologia da informação e comunicação constante da mesma ata de registro de preços</w:t>
      </w:r>
      <w:r>
        <w:rPr>
          <w:rFonts w:cs="Arial"/>
          <w:i/>
          <w:color w:val="FF0000"/>
          <w:szCs w:val="20"/>
          <w:highlight w:val="yellow"/>
        </w:rPr>
        <w:t>.</w:t>
      </w:r>
    </w:p>
    <w:p w14:paraId="60D00AEF" w14:textId="77777777" w:rsidR="00D72FB0" w:rsidRPr="003017F7" w:rsidRDefault="00D72FB0" w:rsidP="008122A2">
      <w:pPr>
        <w:numPr>
          <w:ilvl w:val="1"/>
          <w:numId w:val="1"/>
        </w:numPr>
        <w:spacing w:before="120" w:after="120" w:line="276" w:lineRule="auto"/>
        <w:ind w:left="431" w:hanging="431"/>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8122A2">
      <w:pPr>
        <w:numPr>
          <w:ilvl w:val="1"/>
          <w:numId w:val="1"/>
        </w:numPr>
        <w:spacing w:before="120" w:after="120" w:line="276" w:lineRule="auto"/>
        <w:ind w:left="431" w:hanging="431"/>
        <w:jc w:val="both"/>
        <w:rPr>
          <w:rFonts w:cs="Times New Roman"/>
          <w:i/>
          <w:color w:val="FF0000"/>
          <w:szCs w:val="20"/>
        </w:rPr>
      </w:pPr>
      <w:r w:rsidRPr="003017F7">
        <w:rPr>
          <w:rFonts w:cs="Times New Roman"/>
          <w:i/>
          <w:color w:val="FF0000"/>
          <w:szCs w:val="20"/>
        </w:rPr>
        <w:t>As aquisições ou contratações adicionais a que se refere este item não poderão exceder, por órgão ou entidade, a</w:t>
      </w:r>
      <w:r w:rsidR="009E4456" w:rsidRPr="003017F7">
        <w:rPr>
          <w:rFonts w:cs="Times New Roman"/>
          <w:i/>
          <w:color w:val="FF0000"/>
          <w:szCs w:val="20"/>
        </w:rPr>
        <w:t xml:space="preserve">... (máximo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73A67B6B" w:rsidR="00D72FB0" w:rsidRPr="003017F7" w:rsidRDefault="00D72FB0" w:rsidP="008122A2">
      <w:pPr>
        <w:numPr>
          <w:ilvl w:val="1"/>
          <w:numId w:val="1"/>
        </w:numPr>
        <w:spacing w:before="120" w:after="120" w:line="276" w:lineRule="auto"/>
        <w:ind w:left="431" w:hanging="431"/>
        <w:jc w:val="both"/>
        <w:rPr>
          <w:rFonts w:cs="Times New Roman"/>
          <w:i/>
          <w:color w:val="FF0000"/>
          <w:szCs w:val="20"/>
        </w:rPr>
      </w:pPr>
      <w:r w:rsidRPr="003017F7">
        <w:rPr>
          <w:rFonts w:cs="Times New Roman"/>
          <w:i/>
          <w:color w:val="FF0000"/>
          <w:szCs w:val="20"/>
        </w:rPr>
        <w:t xml:space="preserve">As adesões à ata de registro de preços são limitadas, na totalidade, ao .............  (máximo </w:t>
      </w:r>
      <w:proofErr w:type="gramStart"/>
      <w:r w:rsidR="009E4456" w:rsidRPr="003017F7">
        <w:rPr>
          <w:rFonts w:cs="Times New Roman"/>
          <w:i/>
          <w:color w:val="FF0000"/>
          <w:szCs w:val="20"/>
        </w:rPr>
        <w:t>dobro</w:t>
      </w:r>
      <w:r w:rsidRPr="003017F7">
        <w:rPr>
          <w:rFonts w:cs="Times New Roman"/>
          <w:i/>
          <w:color w:val="FF0000"/>
          <w:szCs w:val="20"/>
        </w:rPr>
        <w:t>).....</w:t>
      </w:r>
      <w:proofErr w:type="gramEnd"/>
      <w:r w:rsidRPr="003017F7">
        <w:rPr>
          <w:rFonts w:cs="Times New Roman"/>
          <w:i/>
          <w:color w:val="FF0000"/>
          <w:szCs w:val="20"/>
        </w:rPr>
        <w:t xml:space="preserve"> do quantitativo de cada item registrado na ata de registro de preços para o órgão gerenciador e órgãos participantes, </w:t>
      </w:r>
      <w:r w:rsidR="008122A2" w:rsidRPr="003017F7">
        <w:rPr>
          <w:rFonts w:cs="Times New Roman"/>
          <w:i/>
          <w:color w:val="FF0000"/>
          <w:szCs w:val="20"/>
        </w:rPr>
        <w:t>independentemente</w:t>
      </w:r>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w:t>
      </w:r>
      <w:r w:rsidRPr="00453D3C">
        <w:rPr>
          <w:rFonts w:cs="Times New Roman"/>
          <w:i/>
          <w:color w:val="FF0000"/>
          <w:szCs w:val="20"/>
        </w:rPr>
        <w:lastRenderedPageBreak/>
        <w:t>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8122A2">
      <w:pPr>
        <w:numPr>
          <w:ilvl w:val="1"/>
          <w:numId w:val="1"/>
        </w:numPr>
        <w:spacing w:before="120" w:after="120" w:line="276" w:lineRule="auto"/>
        <w:ind w:left="431" w:hanging="431"/>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8122A2">
      <w:pPr>
        <w:numPr>
          <w:ilvl w:val="1"/>
          <w:numId w:val="1"/>
        </w:numPr>
        <w:spacing w:before="120" w:after="120" w:line="276" w:lineRule="auto"/>
        <w:ind w:left="431" w:hanging="431"/>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8122A2">
      <w:pPr>
        <w:pStyle w:val="Nivel1"/>
        <w:spacing w:before="240"/>
        <w:ind w:left="357" w:hanging="357"/>
        <w:rPr>
          <w:iCs/>
        </w:rPr>
      </w:pPr>
      <w:r w:rsidRPr="003017F7">
        <w:t xml:space="preserve">VALIDADE DA ATA </w:t>
      </w:r>
    </w:p>
    <w:p w14:paraId="4C5163BF" w14:textId="77777777" w:rsidR="00CB46FC" w:rsidRPr="003017F7" w:rsidRDefault="00CB46FC" w:rsidP="008122A2">
      <w:pPr>
        <w:numPr>
          <w:ilvl w:val="1"/>
          <w:numId w:val="1"/>
        </w:numPr>
        <w:autoSpaceDE w:val="0"/>
        <w:autoSpaceDN w:val="0"/>
        <w:adjustRightInd w:val="0"/>
        <w:spacing w:before="120" w:after="120" w:line="276" w:lineRule="auto"/>
        <w:ind w:left="0" w:firstLine="0"/>
        <w:jc w:val="both"/>
        <w:rPr>
          <w:rFonts w:cs="Arial"/>
          <w:iCs/>
          <w:szCs w:val="20"/>
        </w:rPr>
      </w:pPr>
      <w:r w:rsidRPr="003017F7">
        <w:rPr>
          <w:rFonts w:cs="Arial"/>
          <w:szCs w:val="20"/>
        </w:rPr>
        <w:t>A validade da Ata de Registro de Preços será de 12 meses, a partir do(a)................................,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8122A2">
      <w:pPr>
        <w:pStyle w:val="Nivel1"/>
        <w:spacing w:before="240"/>
        <w:ind w:left="357" w:hanging="357"/>
      </w:pPr>
      <w:r w:rsidRPr="003017F7">
        <w:t xml:space="preserve">REVISÃO E CANCELAMENTO </w:t>
      </w:r>
    </w:p>
    <w:p w14:paraId="4C5163C2" w14:textId="77777777" w:rsidR="00B76EBB" w:rsidRPr="003017F7" w:rsidRDefault="00B76EBB"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07F7DAD4" w:rsidR="00EF3535" w:rsidRPr="003017F7" w:rsidRDefault="00520E7A"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 xml:space="preserve">Quando o preço registrado </w:t>
      </w:r>
      <w:r w:rsidR="008122A2" w:rsidRPr="003017F7">
        <w:rPr>
          <w:rFonts w:cs="Arial"/>
          <w:szCs w:val="20"/>
        </w:rPr>
        <w:t>se tornar</w:t>
      </w:r>
      <w:r w:rsidRPr="003017F7">
        <w:rPr>
          <w:rFonts w:cs="Arial"/>
          <w:szCs w:val="20"/>
        </w:rPr>
        <w:t xml:space="preserv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00F0495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r w:rsidR="008122A2" w:rsidRPr="003017F7">
        <w:rPr>
          <w:rFonts w:cs="Arial"/>
          <w:szCs w:val="20"/>
        </w:rPr>
        <w:t>classificados registrados</w:t>
      </w:r>
      <w:r w:rsidRPr="003017F7">
        <w:rPr>
          <w:rFonts w:cs="Arial"/>
          <w:szCs w:val="20"/>
        </w:rPr>
        <w:t xml:space="preserve"> na ata.</w:t>
      </w:r>
    </w:p>
    <w:p w14:paraId="4C5163C9" w14:textId="38C84C80" w:rsidR="00EF3535" w:rsidRPr="006A6418" w:rsidRDefault="00520E7A"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 xml:space="preserve">Quando o preço de mercado </w:t>
      </w:r>
      <w:r w:rsidR="008122A2" w:rsidRPr="003017F7">
        <w:rPr>
          <w:rFonts w:cs="Arial"/>
          <w:szCs w:val="20"/>
        </w:rPr>
        <w:t>se tornar</w:t>
      </w:r>
      <w:r w:rsidRPr="003017F7">
        <w:rPr>
          <w:rFonts w:cs="Arial"/>
          <w:szCs w:val="20"/>
        </w:rPr>
        <w:t xml:space="preserve"> superior aos preços registrados e o fornecedor não puder cumprir o compromisso, o órgão gerenciador poderá:</w:t>
      </w:r>
    </w:p>
    <w:p w14:paraId="4C5163CA"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lastRenderedPageBreak/>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convocar os demais fornecedores para assegurar igual oportunidade de negociação.</w:t>
      </w:r>
    </w:p>
    <w:p w14:paraId="4C5163CC" w14:textId="77777777" w:rsidR="00EF3535" w:rsidRPr="003017F7" w:rsidRDefault="00520E7A"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6ECA29C7" w:rsidR="00C159F6" w:rsidRPr="003017F7" w:rsidRDefault="00520E7A"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 xml:space="preserve">itens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.1,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.2 e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.4 </w:t>
      </w:r>
      <w:r w:rsidRPr="003017F7">
        <w:rPr>
          <w:rFonts w:cs="Arial"/>
          <w:szCs w:val="20"/>
        </w:rPr>
        <w:t>será formalizado por despacho do órgão gerenciador, assegurado o contraditório e a ampla defesa.</w:t>
      </w:r>
    </w:p>
    <w:p w14:paraId="4C5163D3" w14:textId="77777777" w:rsidR="00C159F6" w:rsidRPr="003017F7" w:rsidRDefault="00520E7A" w:rsidP="008122A2">
      <w:pPr>
        <w:numPr>
          <w:ilvl w:val="1"/>
          <w:numId w:val="1"/>
        </w:numPr>
        <w:autoSpaceDE w:val="0"/>
        <w:autoSpaceDN w:val="0"/>
        <w:adjustRightInd w:val="0"/>
        <w:spacing w:before="120" w:after="120" w:line="276" w:lineRule="auto"/>
        <w:ind w:left="0"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8122A2">
      <w:pPr>
        <w:pStyle w:val="Nivel1"/>
        <w:spacing w:before="240"/>
        <w:ind w:left="357" w:hanging="357"/>
      </w:pPr>
      <w:r w:rsidRPr="003017F7">
        <w:t>DAS PENALIDADES</w:t>
      </w:r>
    </w:p>
    <w:p w14:paraId="2BFA3C52" w14:textId="77777777" w:rsidR="002A3357" w:rsidRDefault="002A3357" w:rsidP="008122A2">
      <w:pPr>
        <w:numPr>
          <w:ilvl w:val="1"/>
          <w:numId w:val="1"/>
        </w:numPr>
        <w:autoSpaceDE w:val="0"/>
        <w:autoSpaceDN w:val="0"/>
        <w:adjustRightInd w:val="0"/>
        <w:spacing w:before="120" w:after="120" w:line="276" w:lineRule="auto"/>
        <w:ind w:left="0" w:firstLine="0"/>
        <w:jc w:val="both"/>
        <w:rPr>
          <w:rFonts w:cs="Arial"/>
          <w:iCs/>
          <w:szCs w:val="20"/>
        </w:rPr>
      </w:pPr>
      <w:r w:rsidRPr="003017F7">
        <w:rPr>
          <w:rFonts w:cs="Arial"/>
          <w:iCs/>
          <w:szCs w:val="20"/>
        </w:rPr>
        <w:t>O descumprimento da Ata de Registro de Preços ensejará aplicação das penalidades estabelecidas no Edital.</w:t>
      </w:r>
    </w:p>
    <w:p w14:paraId="5435B2CF" w14:textId="77777777" w:rsidR="00717E2A" w:rsidRPr="001F6040" w:rsidRDefault="00717E2A" w:rsidP="00717E2A">
      <w:pPr>
        <w:numPr>
          <w:ilvl w:val="2"/>
          <w:numId w:val="1"/>
        </w:numPr>
        <w:autoSpaceDE w:val="0"/>
        <w:autoSpaceDN w:val="0"/>
        <w:adjustRightInd w:val="0"/>
        <w:spacing w:before="120" w:after="120" w:line="276" w:lineRule="auto"/>
        <w:ind w:left="1497"/>
        <w:jc w:val="both"/>
        <w:rPr>
          <w:rFonts w:cs="Arial"/>
          <w:iCs/>
          <w:szCs w:val="20"/>
        </w:rPr>
      </w:pPr>
      <w:r w:rsidRPr="001F6040">
        <w:rPr>
          <w:rFonts w:cs="Arial"/>
          <w:color w:val="000000"/>
          <w:szCs w:val="20"/>
          <w:highlight w:val="yellow"/>
        </w:rPr>
        <w:t>As sanções do item acima também se aplicam aos integrantes do cadastro de reserva, em pregão para registro de preços que, convocados, não honrarem o compromisso assumido injustificadamente</w:t>
      </w:r>
      <w:r>
        <w:rPr>
          <w:rFonts w:cs="Arial"/>
          <w:color w:val="000000"/>
          <w:szCs w:val="20"/>
          <w:highlight w:val="yellow"/>
        </w:rPr>
        <w:t>, nos termos do art. 49, §1º do Decreto nº 10.024/19</w:t>
      </w:r>
      <w:r w:rsidRPr="001F6040">
        <w:rPr>
          <w:rFonts w:cs="Arial"/>
          <w:color w:val="000000"/>
          <w:szCs w:val="20"/>
          <w:highlight w:val="yellow"/>
        </w:rPr>
        <w:t xml:space="preserve">. </w:t>
      </w:r>
    </w:p>
    <w:p w14:paraId="39E8D9AD" w14:textId="77777777" w:rsidR="002A3357" w:rsidRPr="003017F7" w:rsidRDefault="002A3357" w:rsidP="008122A2">
      <w:pPr>
        <w:numPr>
          <w:ilvl w:val="1"/>
          <w:numId w:val="1"/>
        </w:numPr>
        <w:autoSpaceDE w:val="0"/>
        <w:autoSpaceDN w:val="0"/>
        <w:adjustRightInd w:val="0"/>
        <w:spacing w:before="120" w:after="120" w:line="276" w:lineRule="auto"/>
        <w:ind w:left="0"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8122A2">
      <w:pPr>
        <w:numPr>
          <w:ilvl w:val="1"/>
          <w:numId w:val="1"/>
        </w:numPr>
        <w:autoSpaceDE w:val="0"/>
        <w:autoSpaceDN w:val="0"/>
        <w:adjustRightInd w:val="0"/>
        <w:spacing w:before="120" w:after="120" w:line="276" w:lineRule="auto"/>
        <w:ind w:left="0"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lastRenderedPageBreak/>
        <w:t>CONDIÇÕES GERAIS</w:t>
      </w:r>
    </w:p>
    <w:p w14:paraId="4C5163D7" w14:textId="4548B37C" w:rsidR="00FD05A7" w:rsidRPr="003017F7" w:rsidRDefault="00CB46FC" w:rsidP="008122A2">
      <w:pPr>
        <w:numPr>
          <w:ilvl w:val="1"/>
          <w:numId w:val="1"/>
        </w:numPr>
        <w:autoSpaceDE w:val="0"/>
        <w:autoSpaceDN w:val="0"/>
        <w:adjustRightInd w:val="0"/>
        <w:spacing w:before="120" w:after="120" w:line="276" w:lineRule="auto"/>
        <w:ind w:left="0"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122A2">
      <w:pPr>
        <w:numPr>
          <w:ilvl w:val="1"/>
          <w:numId w:val="1"/>
        </w:numPr>
        <w:autoSpaceDE w:val="0"/>
        <w:autoSpaceDN w:val="0"/>
        <w:adjustRightInd w:val="0"/>
        <w:spacing w:before="120" w:after="120" w:line="276" w:lineRule="auto"/>
        <w:ind w:left="0"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8122A2">
      <w:pPr>
        <w:numPr>
          <w:ilvl w:val="1"/>
          <w:numId w:val="1"/>
        </w:numPr>
        <w:autoSpaceDE w:val="0"/>
        <w:autoSpaceDN w:val="0"/>
        <w:adjustRightInd w:val="0"/>
        <w:spacing w:before="120" w:after="120" w:line="276" w:lineRule="auto"/>
        <w:ind w:left="0"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B42E7F" w:rsidRDefault="00E36376" w:rsidP="00E36376">
      <w:pPr>
        <w:pStyle w:val="GradeColorida-nfase11"/>
        <w:rPr>
          <w:rFonts w:cs="Arial"/>
          <w:bCs/>
          <w:iCs w:val="0"/>
          <w:szCs w:val="20"/>
        </w:rPr>
      </w:pPr>
      <w:r w:rsidRPr="00B42E7F">
        <w:rPr>
          <w:rFonts w:cs="Arial"/>
          <w:b/>
          <w:bCs/>
          <w:iCs w:val="0"/>
          <w:szCs w:val="20"/>
        </w:rPr>
        <w:t>Nota Explicativa:</w:t>
      </w:r>
      <w:r w:rsidRPr="00B42E7F">
        <w:rPr>
          <w:rFonts w:cs="Arial"/>
          <w:bCs/>
          <w:iCs w:val="0"/>
          <w:szCs w:val="20"/>
        </w:rPr>
        <w:t xml:space="preserve"> Utilizar o subitem acima no caso de licitações por registro de preços com mais de um item, que utilize a modelagem de aquisição por preço global de grupo de itens, </w:t>
      </w:r>
      <w:r w:rsidRPr="00B42E7F">
        <w:rPr>
          <w:rFonts w:cs="Arial"/>
          <w:b/>
          <w:bCs/>
          <w:iCs w:val="0"/>
          <w:szCs w:val="20"/>
        </w:rPr>
        <w:t xml:space="preserve">salvo quando, justificadamente, ficar demonstrado pela área demandante </w:t>
      </w:r>
      <w:r w:rsidR="004A6DF8" w:rsidRPr="00B42E7F">
        <w:rPr>
          <w:rFonts w:cs="Arial"/>
          <w:b/>
          <w:bCs/>
          <w:iCs w:val="0"/>
          <w:szCs w:val="20"/>
        </w:rPr>
        <w:t xml:space="preserve">no Termo de Referência, de forma expressa, </w:t>
      </w:r>
      <w:r w:rsidRPr="00B42E7F">
        <w:rPr>
          <w:rFonts w:cs="Arial"/>
          <w:b/>
          <w:bCs/>
          <w:iCs w:val="0"/>
          <w:szCs w:val="20"/>
        </w:rPr>
        <w:t>que é inexequível ou inviável, dentro do modelo de execução do contrato, a demanda proporcional ou total de todos os itens do respectivo grupo</w:t>
      </w:r>
      <w:r w:rsidRPr="00B42E7F">
        <w:rPr>
          <w:rFonts w:cs="Arial"/>
          <w:bCs/>
          <w:iCs w:val="0"/>
          <w:szCs w:val="20"/>
        </w:rPr>
        <w:t>.</w:t>
      </w:r>
    </w:p>
    <w:p w14:paraId="6C8FAFE6" w14:textId="77777777" w:rsidR="00E36376" w:rsidRPr="00B42E7F" w:rsidRDefault="00E36376" w:rsidP="00E36376">
      <w:pPr>
        <w:pStyle w:val="GradeColorida-nfase11"/>
        <w:rPr>
          <w:rFonts w:cs="Arial"/>
          <w:bCs/>
          <w:iCs w:val="0"/>
          <w:szCs w:val="20"/>
        </w:rPr>
      </w:pPr>
      <w:r w:rsidRPr="00B42E7F">
        <w:rPr>
          <w:rFonts w:cs="Arial"/>
          <w:bCs/>
          <w:iCs w:val="0"/>
          <w:szCs w:val="20"/>
        </w:rPr>
        <w:t>Nesse sentido, atentar para a seguinte orientação da Secretaria de Gestão:</w:t>
      </w:r>
    </w:p>
    <w:p w14:paraId="5F5BF1A8" w14:textId="77777777" w:rsidR="00E36376" w:rsidRPr="00B42E7F" w:rsidRDefault="00E36376" w:rsidP="00E36376">
      <w:pPr>
        <w:pStyle w:val="GradeColorida-nfase11"/>
        <w:rPr>
          <w:rFonts w:cs="Arial"/>
          <w:bCs/>
          <w:iCs w:val="0"/>
          <w:szCs w:val="20"/>
        </w:rPr>
      </w:pPr>
      <w:r w:rsidRPr="00B42E7F">
        <w:rPr>
          <w:rFonts w:cs="Arial"/>
          <w:bCs/>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B42E7F">
        <w:rPr>
          <w:rFonts w:cs="Arial"/>
          <w:bCs/>
          <w:iCs w:val="0"/>
          <w:szCs w:val="20"/>
        </w:rPr>
        <w:t>Sisg</w:t>
      </w:r>
      <w:proofErr w:type="spellEnd"/>
      <w:r w:rsidRPr="00B42E7F">
        <w:rPr>
          <w:rFonts w:cs="Arial"/>
          <w:bCs/>
          <w:iCs w:val="0"/>
          <w:szCs w:val="20"/>
        </w:rPr>
        <w:t>) que:</w:t>
      </w:r>
    </w:p>
    <w:p w14:paraId="65529178" w14:textId="77777777" w:rsidR="00E36376" w:rsidRPr="00B42E7F" w:rsidRDefault="00E36376" w:rsidP="00E36376">
      <w:pPr>
        <w:pStyle w:val="GradeColorida-nfase11"/>
        <w:rPr>
          <w:rFonts w:cs="Arial"/>
          <w:bCs/>
          <w:iCs w:val="0"/>
          <w:szCs w:val="20"/>
        </w:rPr>
      </w:pPr>
      <w:r w:rsidRPr="00B42E7F">
        <w:rPr>
          <w:rFonts w:cs="Arial"/>
          <w:bCs/>
          <w:iCs w:val="0"/>
          <w:szCs w:val="20"/>
        </w:rPr>
        <w:t>No âmbito das licitações realizadas sob a modelagem de aquisição por preço global de grupo de itens, somente será admitida as seguintes hipóteses:</w:t>
      </w:r>
    </w:p>
    <w:p w14:paraId="2BA3A7D3" w14:textId="77777777" w:rsidR="00E36376" w:rsidRPr="00B42E7F" w:rsidRDefault="00E36376" w:rsidP="00E36376">
      <w:pPr>
        <w:pStyle w:val="GradeColorida-nfase11"/>
        <w:rPr>
          <w:rFonts w:cs="Arial"/>
          <w:bCs/>
          <w:iCs w:val="0"/>
          <w:szCs w:val="20"/>
        </w:rPr>
      </w:pPr>
      <w:r w:rsidRPr="00B42E7F">
        <w:rPr>
          <w:rFonts w:cs="Arial"/>
          <w:bCs/>
          <w:iCs w:val="0"/>
          <w:szCs w:val="20"/>
        </w:rPr>
        <w:t>a) aquisição da totalidade dos itens de grupo, respeitadas as proporções de quantitativos definidos no certame; ou</w:t>
      </w:r>
    </w:p>
    <w:p w14:paraId="406A0D76" w14:textId="77777777" w:rsidR="00E36376" w:rsidRPr="00B42E7F" w:rsidRDefault="00E36376" w:rsidP="00E36376">
      <w:pPr>
        <w:pStyle w:val="GradeColorida-nfase11"/>
        <w:rPr>
          <w:rFonts w:cs="Arial"/>
          <w:bCs/>
          <w:iCs w:val="0"/>
          <w:szCs w:val="20"/>
        </w:rPr>
      </w:pPr>
      <w:r w:rsidRPr="00B42E7F">
        <w:rPr>
          <w:rFonts w:cs="Arial"/>
          <w:bCs/>
          <w:iCs w:val="0"/>
          <w:szCs w:val="20"/>
        </w:rPr>
        <w:t>b) aquisição de item isolado para o qual o preço unitário adjudicado ao vencedor seja o menor preço válido ofertado para o mesmo item na fase de lances.</w:t>
      </w:r>
    </w:p>
    <w:p w14:paraId="50ABADED" w14:textId="31A83224" w:rsidR="00E36376" w:rsidRPr="00B42E7F" w:rsidRDefault="00E36376" w:rsidP="00E36376">
      <w:pPr>
        <w:pStyle w:val="GradeColorida-nfase11"/>
      </w:pPr>
      <w:r w:rsidRPr="00B42E7F">
        <w:rPr>
          <w:rFonts w:cs="Arial"/>
          <w:bCs/>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122A2">
      <w:pPr>
        <w:numPr>
          <w:ilvl w:val="1"/>
          <w:numId w:val="1"/>
        </w:numPr>
        <w:autoSpaceDE w:val="0"/>
        <w:autoSpaceDN w:val="0"/>
        <w:adjustRightInd w:val="0"/>
        <w:spacing w:before="120" w:after="120" w:line="276" w:lineRule="auto"/>
        <w:ind w:left="0" w:firstLine="0"/>
        <w:jc w:val="both"/>
        <w:rPr>
          <w:rFonts w:cs="Arial"/>
          <w:i/>
          <w:iCs/>
          <w:color w:val="FF0000"/>
          <w:szCs w:val="20"/>
        </w:rPr>
      </w:pPr>
      <w:r w:rsidRPr="003017F7">
        <w:rPr>
          <w:rFonts w:cs="Arial"/>
          <w:i/>
          <w:iCs/>
          <w:color w:val="FF0000"/>
          <w:szCs w:val="20"/>
        </w:rPr>
        <w:lastRenderedPageBreak/>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Representante legal do órgão gerenciador e representante(s)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E7A04" w14:textId="77777777" w:rsidR="0055304D" w:rsidRDefault="0055304D" w:rsidP="00831233">
      <w:r>
        <w:separator/>
      </w:r>
    </w:p>
  </w:endnote>
  <w:endnote w:type="continuationSeparator" w:id="0">
    <w:p w14:paraId="4BBC1D8A" w14:textId="77777777" w:rsidR="0055304D" w:rsidRDefault="0055304D"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63E9" w14:textId="77777777" w:rsidR="00831233" w:rsidRDefault="00831233" w:rsidP="00831233">
    <w:pPr>
      <w:pStyle w:val="Rodap"/>
    </w:pPr>
    <w:r>
      <w:t>____________________________________________________________________</w:t>
    </w:r>
  </w:p>
  <w:p w14:paraId="4C5163EA" w14:textId="68210400" w:rsidR="00831233" w:rsidRPr="00025B38" w:rsidRDefault="00B42E7F" w:rsidP="00831233">
    <w:pPr>
      <w:pStyle w:val="Rodap"/>
      <w:rPr>
        <w:sz w:val="12"/>
        <w:szCs w:val="12"/>
      </w:rPr>
    </w:pPr>
    <w:r>
      <w:rPr>
        <w:sz w:val="12"/>
        <w:szCs w:val="12"/>
      </w:rPr>
      <w:t>Câmara Nacional</w:t>
    </w:r>
    <w:r w:rsidR="00831233" w:rsidRPr="00025B38">
      <w:rPr>
        <w:sz w:val="12"/>
        <w:szCs w:val="12"/>
      </w:rPr>
      <w:t xml:space="preserve"> de </w:t>
    </w:r>
    <w:r w:rsidR="00BA7608">
      <w:rPr>
        <w:sz w:val="12"/>
        <w:szCs w:val="12"/>
      </w:rPr>
      <w:t>Modelos de Licitações e Contratos</w:t>
    </w:r>
    <w:r w:rsidR="00831233" w:rsidRPr="00025B38">
      <w:rPr>
        <w:sz w:val="12"/>
        <w:szCs w:val="12"/>
      </w:rPr>
      <w:t xml:space="preserve"> da Consultoria-Geral da União</w:t>
    </w:r>
  </w:p>
  <w:p w14:paraId="4C5163EB" w14:textId="236E9FAA" w:rsidR="00831233" w:rsidRDefault="00831233" w:rsidP="00831233">
    <w:pPr>
      <w:pStyle w:val="Rodap"/>
      <w:rPr>
        <w:sz w:val="12"/>
        <w:szCs w:val="12"/>
      </w:rPr>
    </w:pPr>
    <w:r>
      <w:rPr>
        <w:sz w:val="12"/>
        <w:szCs w:val="12"/>
      </w:rPr>
      <w:t xml:space="preserve">Ata de Registro de Preços </w:t>
    </w:r>
    <w:r w:rsidR="00B42E7F">
      <w:rPr>
        <w:sz w:val="12"/>
        <w:szCs w:val="12"/>
      </w:rPr>
      <w:t>– Serviços de Tecnologia da Informação e Comunicação</w:t>
    </w:r>
  </w:p>
  <w:p w14:paraId="4C5163EC" w14:textId="76E8F6BA" w:rsidR="00831233" w:rsidRDefault="00906B4E" w:rsidP="00831233">
    <w:pPr>
      <w:pStyle w:val="Rodap"/>
    </w:pPr>
    <w:r>
      <w:rPr>
        <w:sz w:val="12"/>
        <w:szCs w:val="12"/>
      </w:rPr>
      <w:t xml:space="preserve">Atualização: </w:t>
    </w:r>
    <w:r w:rsidR="00717E2A">
      <w:rPr>
        <w:sz w:val="12"/>
        <w:szCs w:val="12"/>
      </w:rPr>
      <w:t>Dezembro</w:t>
    </w:r>
    <w:r w:rsidR="00BA7608">
      <w:rPr>
        <w:sz w:val="12"/>
        <w:szCs w:val="12"/>
      </w:rPr>
      <w:t>/</w:t>
    </w:r>
    <w:r w:rsidR="00DD7B98">
      <w:rPr>
        <w:sz w:val="12"/>
        <w:szCs w:val="12"/>
      </w:rPr>
      <w:t>201</w:t>
    </w:r>
    <w:r w:rsidR="00B42E7F">
      <w:rPr>
        <w:sz w:val="12"/>
        <w:szCs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2976A" w14:textId="77777777" w:rsidR="0055304D" w:rsidRDefault="0055304D" w:rsidP="00831233">
      <w:r>
        <w:separator/>
      </w:r>
    </w:p>
  </w:footnote>
  <w:footnote w:type="continuationSeparator" w:id="0">
    <w:p w14:paraId="70AD950D" w14:textId="77777777" w:rsidR="0055304D" w:rsidRDefault="0055304D" w:rsidP="0083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D145" w14:textId="6B4929F7" w:rsidR="008122A2" w:rsidRDefault="008122A2" w:rsidP="008122A2">
    <w:pPr>
      <w:ind w:right="-660"/>
      <w:jc w:val="right"/>
      <w:rPr>
        <w:rFonts w:cs="Arial"/>
        <w:sz w:val="18"/>
        <w:szCs w:val="18"/>
      </w:rPr>
    </w:pPr>
    <w:r>
      <w:rPr>
        <w:noProof/>
      </w:rPr>
      <mc:AlternateContent>
        <mc:Choice Requires="wps">
          <w:drawing>
            <wp:anchor distT="45720" distB="45720" distL="114300" distR="114300" simplePos="0" relativeHeight="251659264" behindDoc="0" locked="0" layoutInCell="1" allowOverlap="1" wp14:anchorId="099A76C8" wp14:editId="05CB8544">
              <wp:simplePos x="0" y="0"/>
              <wp:positionH relativeFrom="margin">
                <wp:align>right</wp:align>
              </wp:positionH>
              <wp:positionV relativeFrom="paragraph">
                <wp:posOffset>16510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54C47" w14:textId="77777777" w:rsidR="008122A2" w:rsidRPr="00307C8C" w:rsidRDefault="008122A2" w:rsidP="008122A2">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A76C8" id="_x0000_t202" coordsize="21600,21600" o:spt="202" path="m,l,21600r21600,l21600,xe">
              <v:stroke joinstyle="miter"/>
              <v:path gradientshapeok="t" o:connecttype="rect"/>
            </v:shapetype>
            <v:shape id="Caixa de texto 358" o:spid="_x0000_s1026" type="#_x0000_t202" style="position:absolute;left:0;text-align:left;margin-left:22.3pt;margin-top:1.3pt;width:73.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" stroked="f">
              <v:textbox>
                <w:txbxContent>
                  <w:p w14:paraId="3E954C47" w14:textId="77777777" w:rsidR="008122A2" w:rsidRPr="00307C8C" w:rsidRDefault="008122A2" w:rsidP="008122A2">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Pr>
        <w:noProof/>
      </w:rPr>
      <w:drawing>
        <wp:anchor distT="0" distB="0" distL="114935" distR="114935" simplePos="0" relativeHeight="251657216" behindDoc="1" locked="0" layoutInCell="1" allowOverlap="1" wp14:anchorId="6BC4346D" wp14:editId="611C38AD">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5B35483D" w14:textId="77777777" w:rsidR="008122A2" w:rsidRDefault="008122A2" w:rsidP="008122A2">
    <w:pPr>
      <w:ind w:right="-660"/>
      <w:jc w:val="right"/>
      <w:rPr>
        <w:rFonts w:cs="Arial"/>
        <w:sz w:val="18"/>
        <w:szCs w:val="18"/>
      </w:rPr>
    </w:pPr>
  </w:p>
  <w:p w14:paraId="2621416D" w14:textId="77777777" w:rsidR="008122A2" w:rsidRDefault="008122A2" w:rsidP="008122A2">
    <w:pPr>
      <w:ind w:right="-660"/>
      <w:rPr>
        <w:rFonts w:cs="Arial"/>
        <w:sz w:val="18"/>
        <w:szCs w:val="18"/>
      </w:rPr>
    </w:pPr>
    <w:r>
      <w:rPr>
        <w:rFonts w:cs="Arial"/>
        <w:sz w:val="18"/>
        <w:szCs w:val="18"/>
      </w:rPr>
      <w:t xml:space="preserve">                   </w:t>
    </w:r>
  </w:p>
  <w:p w14:paraId="64D7B056" w14:textId="77777777" w:rsidR="008122A2" w:rsidRDefault="008122A2" w:rsidP="008122A2">
    <w:pPr>
      <w:ind w:right="-1085"/>
      <w:jc w:val="center"/>
      <w:rPr>
        <w:rFonts w:cs="Arial"/>
        <w:sz w:val="18"/>
        <w:szCs w:val="18"/>
      </w:rPr>
    </w:pPr>
  </w:p>
  <w:p w14:paraId="4194C6DB" w14:textId="77777777" w:rsidR="008122A2" w:rsidRPr="00F4746B" w:rsidRDefault="008122A2" w:rsidP="008122A2">
    <w:pPr>
      <w:pStyle w:val="Normalarial"/>
      <w:rPr>
        <w:rFonts w:cs="Arial"/>
        <w:color w:val="4D4D4D"/>
        <w:sz w:val="18"/>
        <w:szCs w:val="18"/>
      </w:rPr>
    </w:pPr>
    <w:r w:rsidRPr="00F4746B">
      <w:rPr>
        <w:rFonts w:cs="Arial"/>
        <w:color w:val="4D4D4D"/>
        <w:sz w:val="18"/>
        <w:szCs w:val="18"/>
      </w:rPr>
      <w:t>SERVIÇO PÚBLICO FEDERAL</w:t>
    </w:r>
  </w:p>
  <w:p w14:paraId="039DA3D1" w14:textId="77777777" w:rsidR="008122A2" w:rsidRPr="00F4746B" w:rsidRDefault="008122A2" w:rsidP="008122A2">
    <w:pPr>
      <w:pStyle w:val="Normalarial"/>
      <w:rPr>
        <w:rFonts w:cs="Arial"/>
        <w:color w:val="4D4D4D"/>
        <w:sz w:val="18"/>
        <w:szCs w:val="18"/>
      </w:rPr>
    </w:pPr>
    <w:r w:rsidRPr="00F4746B">
      <w:rPr>
        <w:rFonts w:cs="Arial"/>
        <w:color w:val="4D4D4D"/>
        <w:sz w:val="18"/>
        <w:szCs w:val="18"/>
      </w:rPr>
      <w:t>MINISTÉRIO DA EDUCAÇÃO</w:t>
    </w:r>
  </w:p>
  <w:p w14:paraId="121EAA53" w14:textId="70DBD5AC" w:rsidR="008122A2" w:rsidRPr="008122A2" w:rsidRDefault="008122A2" w:rsidP="008122A2">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699228F7" w14:textId="77777777" w:rsidR="008122A2" w:rsidRDefault="008122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CEC61376"/>
    <w:lvl w:ilvl="0">
      <w:start w:val="1"/>
      <w:numFmt w:val="decimal"/>
      <w:pStyle w:val="Nivel1"/>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6FC"/>
    <w:rsid w:val="0005488C"/>
    <w:rsid w:val="000B7011"/>
    <w:rsid w:val="000D1240"/>
    <w:rsid w:val="00113AE6"/>
    <w:rsid w:val="00116DDF"/>
    <w:rsid w:val="00130234"/>
    <w:rsid w:val="0016173D"/>
    <w:rsid w:val="001770D2"/>
    <w:rsid w:val="001D310A"/>
    <w:rsid w:val="00210AA6"/>
    <w:rsid w:val="00220E98"/>
    <w:rsid w:val="0025456D"/>
    <w:rsid w:val="002712DA"/>
    <w:rsid w:val="00287B6A"/>
    <w:rsid w:val="0029606B"/>
    <w:rsid w:val="002A3357"/>
    <w:rsid w:val="002B3D1E"/>
    <w:rsid w:val="002E1277"/>
    <w:rsid w:val="002F4C05"/>
    <w:rsid w:val="003017F7"/>
    <w:rsid w:val="003962AF"/>
    <w:rsid w:val="003A7990"/>
    <w:rsid w:val="003B47A1"/>
    <w:rsid w:val="003C49EC"/>
    <w:rsid w:val="003E658F"/>
    <w:rsid w:val="004070C9"/>
    <w:rsid w:val="00411485"/>
    <w:rsid w:val="0042684A"/>
    <w:rsid w:val="0043176D"/>
    <w:rsid w:val="004359FC"/>
    <w:rsid w:val="00446920"/>
    <w:rsid w:val="00453D3C"/>
    <w:rsid w:val="004811E3"/>
    <w:rsid w:val="004A6DF8"/>
    <w:rsid w:val="004C14E4"/>
    <w:rsid w:val="00502D9C"/>
    <w:rsid w:val="00520E7A"/>
    <w:rsid w:val="0055304D"/>
    <w:rsid w:val="00622A02"/>
    <w:rsid w:val="00631E43"/>
    <w:rsid w:val="00673105"/>
    <w:rsid w:val="006A6418"/>
    <w:rsid w:val="006D7024"/>
    <w:rsid w:val="00717E2A"/>
    <w:rsid w:val="00734091"/>
    <w:rsid w:val="00760276"/>
    <w:rsid w:val="00810F58"/>
    <w:rsid w:val="008122A2"/>
    <w:rsid w:val="00831233"/>
    <w:rsid w:val="00866CC7"/>
    <w:rsid w:val="008764C0"/>
    <w:rsid w:val="00882690"/>
    <w:rsid w:val="008B5DAF"/>
    <w:rsid w:val="008C2179"/>
    <w:rsid w:val="008D10FD"/>
    <w:rsid w:val="00906B4E"/>
    <w:rsid w:val="00921EFD"/>
    <w:rsid w:val="0093531B"/>
    <w:rsid w:val="0098734B"/>
    <w:rsid w:val="009B08EF"/>
    <w:rsid w:val="009D5E28"/>
    <w:rsid w:val="009E4456"/>
    <w:rsid w:val="00A52B45"/>
    <w:rsid w:val="00A57B8A"/>
    <w:rsid w:val="00A7721F"/>
    <w:rsid w:val="00AB0846"/>
    <w:rsid w:val="00B10156"/>
    <w:rsid w:val="00B42E7F"/>
    <w:rsid w:val="00B523BB"/>
    <w:rsid w:val="00B76EBB"/>
    <w:rsid w:val="00BA7608"/>
    <w:rsid w:val="00C017B6"/>
    <w:rsid w:val="00C1527B"/>
    <w:rsid w:val="00C159F6"/>
    <w:rsid w:val="00C341D8"/>
    <w:rsid w:val="00C35F50"/>
    <w:rsid w:val="00C5111B"/>
    <w:rsid w:val="00C60729"/>
    <w:rsid w:val="00C7693F"/>
    <w:rsid w:val="00CB46FC"/>
    <w:rsid w:val="00CB6ADB"/>
    <w:rsid w:val="00CE5B2F"/>
    <w:rsid w:val="00D50B23"/>
    <w:rsid w:val="00D535EE"/>
    <w:rsid w:val="00D63A70"/>
    <w:rsid w:val="00D66549"/>
    <w:rsid w:val="00D72FB0"/>
    <w:rsid w:val="00D7344C"/>
    <w:rsid w:val="00D90DF8"/>
    <w:rsid w:val="00DA505B"/>
    <w:rsid w:val="00DB1AB2"/>
    <w:rsid w:val="00DD029E"/>
    <w:rsid w:val="00DD7B98"/>
    <w:rsid w:val="00E36376"/>
    <w:rsid w:val="00E603AA"/>
    <w:rsid w:val="00E718B1"/>
    <w:rsid w:val="00EE517C"/>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iPriority w:val="99"/>
    <w:unhideWhenUsed/>
    <w:rsid w:val="00831233"/>
    <w:pPr>
      <w:tabs>
        <w:tab w:val="center" w:pos="4252"/>
        <w:tab w:val="right" w:pos="8504"/>
      </w:tabs>
    </w:pPr>
  </w:style>
  <w:style w:type="character" w:customStyle="1" w:styleId="CabealhoChar">
    <w:name w:val="Cabeçalho Char"/>
    <w:basedOn w:val="Fontepargpadro"/>
    <w:link w:val="Cabealho"/>
    <w:uiPriority w:val="99"/>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8122A2"/>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E449D-27A8-4545-A26D-B76A40552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97626B-4393-45B8-A3F1-57035870E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2690</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Vanessa de Oliveira</cp:lastModifiedBy>
  <cp:revision>2</cp:revision>
  <dcterms:created xsi:type="dcterms:W3CDTF">2021-01-11T15:09:00Z</dcterms:created>
  <dcterms:modified xsi:type="dcterms:W3CDTF">2021-01-11T15:09:00Z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